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BE357">
      <w:pPr>
        <w:widowControl/>
        <w:shd w:val="clear" w:color="auto" w:fill="FFFFFF"/>
        <w:adjustRightInd w:val="0"/>
        <w:snapToGrid w:val="0"/>
        <w:spacing w:line="360" w:lineRule="auto"/>
        <w:ind w:firstLine="1084" w:firstLineChars="300"/>
        <w:rPr>
          <w:rFonts w:ascii="宋体" w:hAnsi="宋体" w:cs="宋体"/>
          <w:b/>
          <w:bCs/>
          <w:color w:val="FF0000"/>
          <w:kern w:val="36"/>
          <w:sz w:val="36"/>
          <w:szCs w:val="36"/>
        </w:rPr>
      </w:pPr>
    </w:p>
    <w:p w14:paraId="1E9CA403">
      <w:pPr>
        <w:widowControl/>
        <w:shd w:val="clear" w:color="auto" w:fill="FFFFFF"/>
        <w:adjustRightInd w:val="0"/>
        <w:snapToGrid w:val="0"/>
        <w:spacing w:line="360" w:lineRule="auto"/>
        <w:ind w:firstLine="1084" w:firstLineChars="300"/>
        <w:rPr>
          <w:rFonts w:ascii="宋体" w:hAnsi="宋体" w:cs="宋体"/>
          <w:b/>
          <w:bCs/>
          <w:kern w:val="36"/>
          <w:sz w:val="36"/>
          <w:szCs w:val="36"/>
        </w:rPr>
      </w:pPr>
      <w:r>
        <w:rPr>
          <w:rFonts w:hint="eastAsia" w:ascii="宋体" w:hAnsi="宋体" w:cs="宋体"/>
          <w:b/>
          <w:bCs/>
          <w:kern w:val="36"/>
          <w:sz w:val="36"/>
          <w:szCs w:val="36"/>
        </w:rPr>
        <w:t>证券法学研究会与四川省高级人民法院</w:t>
      </w:r>
    </w:p>
    <w:p w14:paraId="01EBF3B3">
      <w:pPr>
        <w:widowControl/>
        <w:shd w:val="clear" w:color="auto" w:fill="FFFFFF"/>
        <w:adjustRightInd w:val="0"/>
        <w:snapToGrid w:val="0"/>
        <w:spacing w:line="360" w:lineRule="auto"/>
        <w:ind w:firstLine="361" w:firstLineChars="100"/>
        <w:rPr>
          <w:rFonts w:ascii="宋体" w:hAnsi="宋体" w:cs="宋体"/>
          <w:b/>
          <w:bCs/>
          <w:kern w:val="36"/>
          <w:sz w:val="36"/>
          <w:szCs w:val="36"/>
        </w:rPr>
      </w:pPr>
      <w:r>
        <w:rPr>
          <w:rFonts w:hint="eastAsia" w:ascii="宋体" w:hAnsi="宋体" w:cs="宋体"/>
          <w:b/>
          <w:bCs/>
          <w:kern w:val="36"/>
          <w:sz w:val="36"/>
          <w:szCs w:val="36"/>
        </w:rPr>
        <w:t>成都理工大学成功举办“中国式现代化背景下的</w:t>
      </w:r>
    </w:p>
    <w:p w14:paraId="5D2F9F85">
      <w:pPr>
        <w:widowControl/>
        <w:shd w:val="clear" w:color="auto" w:fill="FFFFFF"/>
        <w:adjustRightInd w:val="0"/>
        <w:snapToGrid w:val="0"/>
        <w:spacing w:line="360" w:lineRule="auto"/>
        <w:ind w:firstLine="1807" w:firstLineChars="500"/>
        <w:rPr>
          <w:rFonts w:ascii="宋体" w:hAnsi="宋体" w:cs="宋体"/>
          <w:b/>
          <w:bCs/>
          <w:kern w:val="36"/>
          <w:sz w:val="36"/>
          <w:szCs w:val="36"/>
        </w:rPr>
      </w:pPr>
      <w:r>
        <w:rPr>
          <w:rFonts w:hint="eastAsia" w:ascii="宋体" w:hAnsi="宋体" w:cs="宋体"/>
          <w:b/>
          <w:bCs/>
          <w:kern w:val="36"/>
          <w:sz w:val="36"/>
          <w:szCs w:val="36"/>
        </w:rPr>
        <w:t>新公司法实施研讨会”</w:t>
      </w:r>
    </w:p>
    <w:p w14:paraId="37A71550">
      <w:pPr>
        <w:widowControl/>
        <w:shd w:val="clear" w:color="auto" w:fill="FFFFFF"/>
        <w:adjustRightInd w:val="0"/>
        <w:snapToGrid w:val="0"/>
        <w:spacing w:line="360" w:lineRule="auto"/>
        <w:ind w:firstLine="480" w:firstLineChars="200"/>
        <w:rPr>
          <w:rFonts w:ascii="宋体" w:hAnsi="宋体" w:cs="宋体"/>
          <w:color w:val="000000"/>
          <w:kern w:val="0"/>
          <w:szCs w:val="24"/>
        </w:rPr>
      </w:pPr>
    </w:p>
    <w:p w14:paraId="40176152">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2024年6月29日，“中国式现代化背景下的新公司法实施研讨会”在成都成功举办。本次研讨会由中国法学会证券法学研究会、四川省高级人民法院、成都理工大学共同主办，旨在7月1日新公司法实施前，以中国式现代化全面推进强国建设、民族复兴伟业的时代背景,为在法治轨道上推进中国式现代化，完善中国特色现代化企业制度，全面准确贯彻实施新公司法建言献策。来自立法部门、理论界、司法界、律师界、教育界、金融界会议代表共</w:t>
      </w:r>
      <w:r>
        <w:rPr>
          <w:rFonts w:ascii="宋体" w:hAnsi="宋体" w:cs="宋体"/>
          <w:color w:val="000000"/>
          <w:kern w:val="0"/>
          <w:szCs w:val="24"/>
        </w:rPr>
        <w:t>150多人参加研讨</w:t>
      </w:r>
      <w:r>
        <w:rPr>
          <w:rFonts w:hint="eastAsia" w:ascii="宋体" w:hAnsi="宋体" w:cs="宋体"/>
          <w:color w:val="000000"/>
          <w:kern w:val="0"/>
          <w:szCs w:val="24"/>
        </w:rPr>
        <w:t>会。江必新、</w:t>
      </w:r>
      <w:r>
        <w:rPr>
          <w:rFonts w:hint="eastAsia" w:ascii="宋体" w:hAnsi="宋体" w:cs="宋体"/>
          <w:color w:val="000000"/>
          <w:kern w:val="0"/>
          <w:szCs w:val="24"/>
          <w:lang w:val="en-US" w:eastAsia="zh-CN"/>
        </w:rPr>
        <w:t>王树江、</w:t>
      </w:r>
      <w:bookmarkStart w:id="0" w:name="_GoBack"/>
      <w:bookmarkEnd w:id="0"/>
      <w:r>
        <w:rPr>
          <w:rFonts w:hint="eastAsia" w:ascii="宋体" w:hAnsi="宋体" w:cs="宋体"/>
          <w:color w:val="000000"/>
          <w:kern w:val="0"/>
          <w:szCs w:val="24"/>
        </w:rPr>
        <w:t>陈甦、赵旭东、郭锋、施天涛、甘培忠、周友苏、蒋大兴、冯果、侯东德、李东方、唐清利、邢会强、林一英、赖波军、刘楠、秦海、刘清友、许强、侯明才、徐东琪、何良彬、徐文昌等领导和专家出席。</w:t>
      </w:r>
    </w:p>
    <w:p w14:paraId="70BAAFB8">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微软雅黑" w:hAnsi="微软雅黑" w:eastAsia="微软雅黑" w:cs="微软雅黑"/>
          <w:color w:val="000000"/>
          <w:kern w:val="0"/>
          <w:szCs w:val="24"/>
        </w:rPr>
        <w:drawing>
          <wp:inline distT="0" distB="0" distL="114300" distR="114300">
            <wp:extent cx="5252720" cy="3168650"/>
            <wp:effectExtent l="0" t="0" r="5080" b="1270"/>
            <wp:docPr id="2" name="图片 2"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全景"/>
                    <pic:cNvPicPr>
                      <a:picLocks noChangeAspect="1"/>
                    </pic:cNvPicPr>
                  </pic:nvPicPr>
                  <pic:blipFill>
                    <a:blip r:embed="rId4"/>
                    <a:stretch>
                      <a:fillRect/>
                    </a:stretch>
                  </pic:blipFill>
                  <pic:spPr>
                    <a:xfrm>
                      <a:off x="0" y="0"/>
                      <a:ext cx="5252720" cy="3168650"/>
                    </a:xfrm>
                    <a:prstGeom prst="rect">
                      <a:avLst/>
                    </a:prstGeom>
                  </pic:spPr>
                </pic:pic>
              </a:graphicData>
            </a:graphic>
          </wp:inline>
        </w:drawing>
      </w:r>
    </w:p>
    <w:p w14:paraId="7B8D72B9">
      <w:pPr>
        <w:widowControl/>
        <w:shd w:val="clear" w:color="auto" w:fill="FFFFFF"/>
        <w:adjustRightInd w:val="0"/>
        <w:snapToGrid w:val="0"/>
        <w:spacing w:line="360" w:lineRule="auto"/>
        <w:ind w:firstLine="480" w:firstLineChars="200"/>
        <w:jc w:val="center"/>
        <w:rPr>
          <w:rFonts w:ascii="微软雅黑" w:hAnsi="微软雅黑" w:eastAsia="微软雅黑" w:cs="微软雅黑"/>
          <w:color w:val="000000"/>
          <w:kern w:val="0"/>
          <w:szCs w:val="24"/>
        </w:rPr>
      </w:pPr>
      <w:r>
        <w:rPr>
          <w:rFonts w:hint="eastAsia" w:ascii="微软雅黑" w:hAnsi="微软雅黑" w:eastAsia="微软雅黑" w:cs="微软雅黑"/>
          <w:color w:val="000000"/>
          <w:kern w:val="0"/>
          <w:szCs w:val="24"/>
        </w:rPr>
        <w:t>研讨会会场全景</w:t>
      </w:r>
    </w:p>
    <w:p w14:paraId="51E0C010">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会议分开幕式、主旨演讲、基调演讲、分组讨论、闭幕式五个环节进行。</w:t>
      </w:r>
      <w:r>
        <w:rPr>
          <w:rFonts w:hint="eastAsia" w:ascii="微软雅黑" w:hAnsi="微软雅黑" w:eastAsia="微软雅黑" w:cs="微软雅黑"/>
          <w:color w:val="000000"/>
          <w:kern w:val="0"/>
          <w:szCs w:val="24"/>
        </w:rPr>
        <w:drawing>
          <wp:inline distT="0" distB="0" distL="114300" distR="114300">
            <wp:extent cx="5261610" cy="3507740"/>
            <wp:effectExtent l="0" t="0" r="11430" b="12700"/>
            <wp:docPr id="16" name="图片 16" descr="主席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主席台"/>
                    <pic:cNvPicPr>
                      <a:picLocks noChangeAspect="1"/>
                    </pic:cNvPicPr>
                  </pic:nvPicPr>
                  <pic:blipFill>
                    <a:blip r:embed="rId5"/>
                    <a:stretch>
                      <a:fillRect/>
                    </a:stretch>
                  </pic:blipFill>
                  <pic:spPr>
                    <a:xfrm>
                      <a:off x="0" y="0"/>
                      <a:ext cx="5261610" cy="3507740"/>
                    </a:xfrm>
                    <a:prstGeom prst="rect">
                      <a:avLst/>
                    </a:prstGeom>
                  </pic:spPr>
                </pic:pic>
              </a:graphicData>
            </a:graphic>
          </wp:inline>
        </w:drawing>
      </w:r>
    </w:p>
    <w:p w14:paraId="5E42667D">
      <w:pPr>
        <w:widowControl/>
        <w:shd w:val="clear" w:color="auto" w:fill="FFFFFF"/>
        <w:adjustRightInd w:val="0"/>
        <w:snapToGrid w:val="0"/>
        <w:spacing w:line="360" w:lineRule="auto"/>
        <w:ind w:firstLine="480" w:firstLineChars="200"/>
        <w:jc w:val="center"/>
        <w:rPr>
          <w:rFonts w:ascii="微软雅黑" w:hAnsi="微软雅黑" w:eastAsia="微软雅黑" w:cs="微软雅黑"/>
          <w:color w:val="000000"/>
          <w:kern w:val="0"/>
          <w:szCs w:val="24"/>
        </w:rPr>
      </w:pPr>
      <w:r>
        <w:rPr>
          <w:rFonts w:hint="eastAsia" w:ascii="微软雅黑" w:hAnsi="微软雅黑" w:eastAsia="微软雅黑" w:cs="微软雅黑"/>
          <w:color w:val="000000"/>
          <w:kern w:val="0"/>
          <w:szCs w:val="24"/>
        </w:rPr>
        <w:t>开幕式及主旨演讲现场</w:t>
      </w:r>
    </w:p>
    <w:p w14:paraId="4A65BAB7">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开幕式由成都理工大学校长许强教授主持。成都理工大学党委书记、教授刘清友，研究会会长、成都理工大学文法学院特聘院长郭锋，四川省委政法委副书记，四川省法学会党组书记、常务副会长刘楠，四川省高级人民法院党组书记、院长王树江先后发表开幕致辞。各位领导对会议召开表达了热烈祝贺，在回顾公司法三十年发展历程与制度实践的同时，充分肯定了此次会议在促进新公司法实施、引领学术热点研究，发挥研究智库功能，加强跨界合作交流、优化法治营商环境等层面的重要意义。郭锋会长还从可持续发展信息披露制度出发，介绍了资本市场落实新公司第20条“社会责任条款”的情况和进一步对证券法作出适应性修改的建议。随后，研究会副会长兼秘书长邢会强教授介绍了优秀论文的征文和评选情况，并为获奖嘉宾举行了颁奖仪式。</w:t>
      </w:r>
    </w:p>
    <w:p w14:paraId="198F0982">
      <w:pPr>
        <w:widowControl/>
        <w:shd w:val="clear" w:color="auto" w:fill="FFFFFF"/>
        <w:adjustRightInd w:val="0"/>
        <w:snapToGrid w:val="0"/>
        <w:spacing w:line="360" w:lineRule="auto"/>
        <w:ind w:firstLine="480" w:firstLineChars="200"/>
        <w:rPr>
          <w:rFonts w:hint="eastAsia" w:ascii="宋体" w:hAnsi="宋体" w:cs="宋体"/>
          <w:color w:val="000000"/>
          <w:kern w:val="0"/>
          <w:szCs w:val="24"/>
        </w:rPr>
      </w:pPr>
      <w:r>
        <w:rPr>
          <w:rFonts w:hint="eastAsia" w:ascii="宋体" w:hAnsi="宋体" w:cs="宋体"/>
          <w:color w:val="000000"/>
          <w:kern w:val="0"/>
          <w:szCs w:val="24"/>
        </w:rPr>
        <w:t>研讨会上公布了此次新公司法实施主题征文评选结果，共评选出一等奖</w:t>
      </w:r>
      <w:r>
        <w:rPr>
          <w:rFonts w:ascii="宋体" w:hAnsi="宋体" w:cs="宋体"/>
          <w:color w:val="000000"/>
          <w:kern w:val="0"/>
          <w:szCs w:val="24"/>
        </w:rPr>
        <w:t>2名，二等奖</w:t>
      </w:r>
      <w:r>
        <w:rPr>
          <w:rFonts w:hint="eastAsia" w:ascii="宋体" w:hAnsi="宋体" w:cs="宋体"/>
          <w:color w:val="000000"/>
          <w:kern w:val="0"/>
          <w:szCs w:val="24"/>
          <w:lang w:val="en-US" w:eastAsia="zh-CN"/>
        </w:rPr>
        <w:t>4</w:t>
      </w:r>
      <w:r>
        <w:rPr>
          <w:rFonts w:ascii="宋体" w:hAnsi="宋体" w:cs="宋体"/>
          <w:color w:val="000000"/>
          <w:kern w:val="0"/>
          <w:szCs w:val="24"/>
        </w:rPr>
        <w:t>名，三等奖5名，优秀奖1</w:t>
      </w:r>
      <w:r>
        <w:rPr>
          <w:rFonts w:hint="eastAsia" w:ascii="宋体" w:hAnsi="宋体" w:cs="宋体"/>
          <w:color w:val="000000"/>
          <w:kern w:val="0"/>
          <w:szCs w:val="24"/>
          <w:lang w:val="en-US" w:eastAsia="zh-CN"/>
        </w:rPr>
        <w:t>1</w:t>
      </w:r>
      <w:r>
        <w:rPr>
          <w:rFonts w:ascii="宋体" w:hAnsi="宋体" w:cs="宋体"/>
          <w:color w:val="000000"/>
          <w:kern w:val="0"/>
          <w:szCs w:val="24"/>
        </w:rPr>
        <w:t>名。</w:t>
      </w:r>
    </w:p>
    <w:p w14:paraId="2CA07476">
      <w:pPr>
        <w:widowControl/>
        <w:shd w:val="clear" w:color="auto" w:fill="FFFFFF"/>
        <w:adjustRightInd w:val="0"/>
        <w:snapToGrid w:val="0"/>
        <w:spacing w:line="360" w:lineRule="auto"/>
        <w:ind w:firstLine="480" w:firstLineChars="200"/>
        <w:rPr>
          <w:rFonts w:hint="eastAsia" w:ascii="宋体" w:hAnsi="宋体" w:cs="宋体"/>
          <w:color w:val="000000"/>
          <w:kern w:val="0"/>
          <w:szCs w:val="24"/>
        </w:rPr>
      </w:pPr>
      <w:r>
        <w:rPr>
          <w:rFonts w:ascii="宋体" w:hAnsi="宋体" w:cs="宋体"/>
          <w:color w:val="000000"/>
          <w:kern w:val="0"/>
          <w:szCs w:val="24"/>
        </w:rPr>
        <w:drawing>
          <wp:inline distT="0" distB="0" distL="0" distR="0">
            <wp:extent cx="5181600" cy="3515995"/>
            <wp:effectExtent l="0" t="0" r="0" b="8255"/>
            <wp:docPr id="1" name="图片 1" descr="C:\Users\Administrator\Desktop\7413a50bcf5d8aefcb591a2a2c20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7413a50bcf5d8aefcb591a2a2c20ee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181912" cy="3516207"/>
                    </a:xfrm>
                    <a:prstGeom prst="rect">
                      <a:avLst/>
                    </a:prstGeom>
                    <a:noFill/>
                    <a:ln>
                      <a:noFill/>
                    </a:ln>
                  </pic:spPr>
                </pic:pic>
              </a:graphicData>
            </a:graphic>
          </wp:inline>
        </w:drawing>
      </w:r>
    </w:p>
    <w:p w14:paraId="2E033527">
      <w:pPr>
        <w:widowControl/>
        <w:shd w:val="clear" w:color="auto" w:fill="FFFFFF"/>
        <w:adjustRightInd w:val="0"/>
        <w:snapToGrid w:val="0"/>
        <w:spacing w:line="360" w:lineRule="auto"/>
        <w:ind w:firstLine="480" w:firstLineChars="200"/>
        <w:rPr>
          <w:rFonts w:ascii="微软雅黑" w:hAnsi="微软雅黑" w:eastAsia="微软雅黑" w:cs="微软雅黑"/>
          <w:color w:val="000000"/>
          <w:kern w:val="0"/>
          <w:szCs w:val="24"/>
        </w:rPr>
      </w:pPr>
      <w:r>
        <w:rPr>
          <w:rFonts w:hint="eastAsia" w:ascii="宋体" w:hAnsi="宋体" w:cs="宋体"/>
          <w:color w:val="000000"/>
          <w:kern w:val="0"/>
          <w:szCs w:val="24"/>
        </w:rPr>
        <w:t xml:space="preserve"> </w:t>
      </w:r>
      <w:r>
        <w:rPr>
          <w:rFonts w:ascii="宋体" w:hAnsi="宋体" w:cs="宋体"/>
          <w:color w:val="000000"/>
          <w:kern w:val="0"/>
          <w:szCs w:val="24"/>
        </w:rPr>
        <w:t xml:space="preserve">                     </w:t>
      </w:r>
      <w:r>
        <w:rPr>
          <w:rFonts w:hint="eastAsia" w:ascii="微软雅黑" w:hAnsi="微软雅黑" w:eastAsia="微软雅黑" w:cs="微软雅黑"/>
          <w:color w:val="000000"/>
          <w:kern w:val="0"/>
          <w:szCs w:val="24"/>
        </w:rPr>
        <w:t>为论文获奖作者颁奖</w:t>
      </w:r>
    </w:p>
    <w:p w14:paraId="752872FC">
      <w:pPr>
        <w:widowControl/>
        <w:shd w:val="clear" w:color="auto" w:fill="FFFFFF"/>
        <w:adjustRightInd w:val="0"/>
        <w:snapToGrid w:val="0"/>
        <w:spacing w:line="360" w:lineRule="auto"/>
        <w:ind w:firstLine="480" w:firstLineChars="200"/>
        <w:rPr>
          <w:rFonts w:ascii="宋体" w:hAnsi="宋体" w:cs="宋体"/>
          <w:color w:val="000000"/>
          <w:kern w:val="0"/>
          <w:szCs w:val="24"/>
        </w:rPr>
      </w:pPr>
    </w:p>
    <w:p w14:paraId="3F65B4B8">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第一单元主旨演讲由中国社会科学院法学所研究员、中国法学会副会长陈甦主持。</w:t>
      </w:r>
    </w:p>
    <w:p w14:paraId="0E3BE31A">
      <w:pPr>
        <w:widowControl/>
        <w:shd w:val="clear" w:color="auto" w:fill="FFFFFF"/>
        <w:adjustRightInd w:val="0"/>
        <w:snapToGrid w:val="0"/>
        <w:spacing w:line="360" w:lineRule="auto"/>
        <w:ind w:firstLine="482" w:firstLineChars="200"/>
        <w:rPr>
          <w:rFonts w:ascii="宋体" w:hAnsi="宋体" w:cs="宋体"/>
          <w:color w:val="000000"/>
          <w:kern w:val="0"/>
          <w:szCs w:val="24"/>
        </w:rPr>
      </w:pPr>
      <w:r>
        <w:rPr>
          <w:rFonts w:hint="eastAsia" w:ascii="宋体" w:hAnsi="宋体" w:cs="宋体"/>
          <w:b/>
          <w:bCs/>
          <w:color w:val="000000"/>
          <w:kern w:val="0"/>
          <w:szCs w:val="24"/>
        </w:rPr>
        <w:t>中国政法大学民商经济法学院教授、中国法学会商法学研究会会长赵旭东</w:t>
      </w:r>
      <w:r>
        <w:rPr>
          <w:rFonts w:hint="eastAsia" w:ascii="宋体" w:hAnsi="宋体" w:cs="宋体"/>
          <w:color w:val="000000"/>
          <w:kern w:val="0"/>
          <w:szCs w:val="24"/>
        </w:rPr>
        <w:t>发表了“本轮新公司法监事会制度改革的评价与实施”的演讲。他表示，“从法定的必须设立监事会或者监事到公司自主设立审计委员会转变，极大扩展了公司治理的自治空间。”对审计委员会职权与公司治理地位有待厘清的问题，他认为将审计委员会的职权完全由公司自己决定，并将之作为在董事会内部专门负责监督事务的工作机构，更符合现实需要和改革初衷。</w:t>
      </w:r>
    </w:p>
    <w:p w14:paraId="54ECC5FF">
      <w:pPr>
        <w:spacing w:line="360" w:lineRule="auto"/>
        <w:ind w:firstLine="482" w:firstLineChars="200"/>
        <w:rPr>
          <w:rFonts w:ascii="宋体" w:hAnsi="宋体" w:cs="宋体"/>
          <w:color w:val="000000"/>
          <w:kern w:val="0"/>
          <w:szCs w:val="24"/>
        </w:rPr>
      </w:pPr>
      <w:r>
        <w:rPr>
          <w:rFonts w:hint="eastAsia" w:ascii="宋体" w:hAnsi="宋体" w:cs="宋体"/>
          <w:b/>
          <w:bCs/>
          <w:color w:val="000000"/>
          <w:kern w:val="0"/>
          <w:szCs w:val="24"/>
        </w:rPr>
        <w:t>清华大学法学院教授，证券法学研究会常务副会长施天涛</w:t>
      </w:r>
      <w:r>
        <w:rPr>
          <w:rFonts w:hint="eastAsia" w:ascii="宋体" w:hAnsi="宋体" w:cs="宋体"/>
          <w:color w:val="000000"/>
          <w:kern w:val="0"/>
          <w:szCs w:val="24"/>
        </w:rPr>
        <w:t>发表了“新公司法管理者受信义务评析”的演讲。他指出，旧公司法对注意义务缺乏具体规定，忠实义务体系混乱，对二者也缺乏有效的司法裁判标准。虽然新公司法对此着力完善，但未对管理者的经营义务与监管义务区别对待，关联交易的规定依然缺乏实质公平的裁判标准，公司机会缺乏界定，这可能导致司法审判困难，有待进一步省察。</w:t>
      </w:r>
    </w:p>
    <w:p w14:paraId="5B0DAFC3">
      <w:pPr>
        <w:widowControl/>
        <w:shd w:val="clear" w:color="auto" w:fill="FFFFFF"/>
        <w:adjustRightInd w:val="0"/>
        <w:snapToGrid w:val="0"/>
        <w:spacing w:line="360" w:lineRule="auto"/>
        <w:ind w:firstLine="482" w:firstLineChars="200"/>
        <w:rPr>
          <w:rFonts w:ascii="宋体" w:hAnsi="宋体" w:cs="宋体"/>
          <w:color w:val="000000"/>
          <w:kern w:val="0"/>
          <w:szCs w:val="24"/>
        </w:rPr>
      </w:pPr>
      <w:r>
        <w:rPr>
          <w:rFonts w:hint="eastAsia" w:ascii="宋体" w:hAnsi="宋体" w:cs="宋体"/>
          <w:b/>
          <w:bCs/>
          <w:color w:val="000000"/>
          <w:kern w:val="0"/>
          <w:szCs w:val="24"/>
        </w:rPr>
        <w:t>四川省社会科学院研究员、证券法学研究会副会长周友苏</w:t>
      </w:r>
      <w:r>
        <w:rPr>
          <w:rFonts w:hint="eastAsia" w:ascii="宋体" w:hAnsi="宋体" w:cs="宋体"/>
          <w:color w:val="000000"/>
          <w:kern w:val="0"/>
          <w:szCs w:val="24"/>
        </w:rPr>
        <w:t>发表了“新公司法董事勤勉义务新规对虚假陈述民事责任的适用启示”的演讲。他表示，董事勤勉义务体系化是这次公司法修订中的亮点。这启示董事虚假陈述民事责任应回归董事对第三人的责任的定位，以故意和重大过失作为过错标准，同时根据董事不同的职务、不同专业背景、不同认知经验对违反勤勉义务的认定作出区分，为董事履职提供一定的容错的空间。</w:t>
      </w:r>
    </w:p>
    <w:p w14:paraId="039D7F09">
      <w:pPr>
        <w:widowControl/>
        <w:shd w:val="clear" w:color="auto" w:fill="FFFFFF"/>
        <w:adjustRightInd w:val="0"/>
        <w:snapToGrid w:val="0"/>
        <w:spacing w:line="360" w:lineRule="auto"/>
        <w:ind w:firstLine="482" w:firstLineChars="200"/>
        <w:rPr>
          <w:rFonts w:ascii="宋体" w:hAnsi="宋体" w:cs="宋体"/>
          <w:color w:val="000000"/>
          <w:kern w:val="0"/>
          <w:szCs w:val="24"/>
        </w:rPr>
      </w:pPr>
      <w:r>
        <w:rPr>
          <w:rFonts w:hint="eastAsia" w:ascii="宋体" w:hAnsi="宋体" w:cs="宋体"/>
          <w:b/>
          <w:bCs/>
          <w:color w:val="000000"/>
          <w:kern w:val="0"/>
          <w:szCs w:val="24"/>
        </w:rPr>
        <w:t>四川省高级人民法院党组副书记、常务副院长秦海</w:t>
      </w:r>
      <w:r>
        <w:rPr>
          <w:rFonts w:hint="eastAsia" w:ascii="宋体" w:hAnsi="宋体" w:cs="宋体"/>
          <w:color w:val="000000"/>
          <w:kern w:val="0"/>
          <w:szCs w:val="24"/>
        </w:rPr>
        <w:t>发表了“公司合规的实践冲突、价值重塑与路径展望”的演讲。他指出，新公司法第19条和第177条完善了公司合规义务，但实践中企业合规是综合性问题。因此，需进一步发挥企业自身、行业协会、行政机关与司法机关的系统合力，衔接公司法与其他法律法规。</w:t>
      </w:r>
    </w:p>
    <w:p w14:paraId="4D51BDB9">
      <w:pPr>
        <w:spacing w:line="360" w:lineRule="auto"/>
        <w:ind w:firstLine="482" w:firstLineChars="200"/>
        <w:rPr>
          <w:rFonts w:ascii="宋体" w:hAnsi="宋体" w:cs="宋体"/>
          <w:color w:val="000000"/>
          <w:kern w:val="0"/>
          <w:szCs w:val="24"/>
        </w:rPr>
      </w:pPr>
      <w:r>
        <w:rPr>
          <w:rFonts w:hint="eastAsia" w:ascii="宋体" w:hAnsi="宋体" w:cs="宋体"/>
          <w:b/>
          <w:bCs/>
          <w:color w:val="000000"/>
          <w:kern w:val="0"/>
          <w:szCs w:val="24"/>
        </w:rPr>
        <w:t>复旦大学法学院教授、证券法学研究会常务理事季立刚</w:t>
      </w:r>
      <w:r>
        <w:rPr>
          <w:rFonts w:hint="eastAsia" w:ascii="宋体" w:hAnsi="宋体" w:cs="宋体"/>
          <w:color w:val="000000"/>
          <w:kern w:val="0"/>
          <w:szCs w:val="24"/>
        </w:rPr>
        <w:t>发表了“《公司法》董监高责任条款解释问题”的演讲。他关注到，新公司法新增较多董监高责任条款并趋向严格化，对之展开梳理与解释是实施好公司法的重要环节。有关解释有必要综合法律文本、立法目的，并注重区分董事对内对外承担责任的不同逻辑。</w:t>
      </w:r>
    </w:p>
    <w:p w14:paraId="63EA7DA1">
      <w:pPr>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第二单元是</w:t>
      </w:r>
      <w:r>
        <w:rPr>
          <w:rFonts w:hint="eastAsia" w:ascii="宋体" w:hAnsi="宋体" w:cs="宋体"/>
          <w:b/>
          <w:bCs/>
          <w:color w:val="000000"/>
          <w:kern w:val="0"/>
          <w:szCs w:val="24"/>
        </w:rPr>
        <w:t>中国法学会副会长、湖南大学法学院江必新教授</w:t>
      </w:r>
      <w:r>
        <w:rPr>
          <w:rFonts w:hint="eastAsia" w:ascii="宋体" w:hAnsi="宋体" w:cs="宋体"/>
          <w:color w:val="000000"/>
          <w:kern w:val="0"/>
          <w:szCs w:val="24"/>
        </w:rPr>
        <w:t>为演讲人的基调演讲环节，由四川省纪委监委驻成都理工大学纪检组长，成都理工校党委副书记、纪委书记唐清利教授主持。</w:t>
      </w:r>
    </w:p>
    <w:p w14:paraId="572918FD">
      <w:pPr>
        <w:spacing w:line="360" w:lineRule="auto"/>
        <w:ind w:firstLine="482" w:firstLineChars="200"/>
        <w:rPr>
          <w:rFonts w:ascii="宋体" w:hAnsi="宋体" w:cs="宋体"/>
          <w:color w:val="000000"/>
          <w:kern w:val="0"/>
          <w:szCs w:val="24"/>
        </w:rPr>
      </w:pPr>
      <w:r>
        <w:rPr>
          <w:rFonts w:hint="eastAsia" w:ascii="宋体" w:hAnsi="宋体" w:cs="宋体"/>
          <w:b/>
          <w:bCs/>
          <w:color w:val="000000"/>
          <w:kern w:val="0"/>
          <w:szCs w:val="24"/>
        </w:rPr>
        <w:t>江必新教授</w:t>
      </w:r>
      <w:r>
        <w:rPr>
          <w:rFonts w:hint="eastAsia" w:ascii="宋体" w:hAnsi="宋体" w:cs="宋体"/>
          <w:color w:val="000000"/>
          <w:kern w:val="0"/>
          <w:szCs w:val="24"/>
        </w:rPr>
        <w:t>指出，此次修公司法修订内涵丰富、意义重大。法律的生命在于实施，法律的权威在于实施，法律的效果在于实施。公司法的实施具有极端重要性，以全面贯彻实施公司法来推动经济法治的现代化，就是企业制度的现代化、公司治理的现代化、行政监管的现代化、营商环境的现代化、市场机制的现代化和企社关系的现代化。公司法的实施是一个系统的、复杂的、艰巨的过程，不仅需要党、政府、企业、公民的共同参与，还需要系统性的配套设计，关注和防范制度弊端的意识，密切关注实践发展的司法解释、立法解释与运行良好的诉讼机制。只有这样，才能使公司法真正推动我国营商环境优化，推动经济高质量发展，最终推动中国式现代化实现。</w:t>
      </w:r>
    </w:p>
    <w:p w14:paraId="4E1BB496">
      <w:pPr>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第三单元分为两组平行论坛进行发言、交流。</w:t>
      </w:r>
    </w:p>
    <w:p w14:paraId="73C1E559">
      <w:pPr>
        <w:widowControl/>
        <w:shd w:val="clear" w:color="auto" w:fill="FFFFFF"/>
        <w:adjustRightInd w:val="0"/>
        <w:snapToGrid w:val="0"/>
        <w:spacing w:line="360" w:lineRule="auto"/>
        <w:ind w:firstLine="480" w:firstLineChars="200"/>
        <w:rPr>
          <w:rFonts w:ascii="宋体" w:hAnsi="宋体" w:cs="宋体"/>
          <w:b/>
          <w:color w:val="000000"/>
          <w:kern w:val="0"/>
          <w:szCs w:val="24"/>
        </w:rPr>
      </w:pPr>
      <w:r>
        <w:rPr>
          <w:rFonts w:hint="eastAsia" w:ascii="宋体" w:hAnsi="宋体" w:cs="宋体"/>
          <w:color w:val="000000"/>
          <w:kern w:val="0"/>
          <w:szCs w:val="24"/>
        </w:rPr>
        <w:t>第一组上半场由</w:t>
      </w:r>
      <w:r>
        <w:rPr>
          <w:rFonts w:hint="eastAsia" w:ascii="宋体" w:hAnsi="宋体" w:cs="宋体"/>
          <w:b/>
          <w:color w:val="000000"/>
          <w:kern w:val="0"/>
          <w:szCs w:val="24"/>
        </w:rPr>
        <w:t>甘培忠教授和冯果副会长</w:t>
      </w:r>
      <w:r>
        <w:rPr>
          <w:rFonts w:hint="eastAsia" w:ascii="宋体" w:hAnsi="宋体" w:cs="宋体"/>
          <w:color w:val="000000"/>
          <w:kern w:val="0"/>
          <w:szCs w:val="24"/>
        </w:rPr>
        <w:t>主持。</w:t>
      </w:r>
      <w:r>
        <w:rPr>
          <w:rFonts w:hint="eastAsia" w:ascii="宋体" w:hAnsi="宋体" w:cs="宋体"/>
          <w:b/>
          <w:bCs/>
          <w:color w:val="000000"/>
          <w:kern w:val="0"/>
          <w:szCs w:val="24"/>
        </w:rPr>
        <w:t>北京大学法学院蒋大兴教授</w:t>
      </w:r>
      <w:r>
        <w:rPr>
          <w:rFonts w:hint="eastAsia" w:ascii="宋体" w:hAnsi="宋体" w:cs="宋体"/>
          <w:color w:val="000000"/>
          <w:kern w:val="0"/>
          <w:szCs w:val="24"/>
        </w:rPr>
        <w:t>指出，新公司实施中弘扬企业家精神的容错机制不足，非货币财产出资缺乏税法配套支持，上市公司强制设立审计委员会可能导致监事会改革效果大打折扣，授权资本制改革缺乏证券法层面的支持，以及提升公司透明度市场监管的配套措施缺乏等不足之处。</w:t>
      </w:r>
      <w:r>
        <w:rPr>
          <w:rFonts w:hint="eastAsia" w:ascii="宋体" w:hAnsi="宋体" w:cs="宋体"/>
          <w:b/>
          <w:bCs/>
          <w:color w:val="000000"/>
          <w:kern w:val="0"/>
          <w:szCs w:val="24"/>
        </w:rPr>
        <w:t>全国人大法工委经济法室副处长林一英</w:t>
      </w:r>
      <w:r>
        <w:rPr>
          <w:rFonts w:hint="eastAsia" w:ascii="宋体" w:hAnsi="宋体" w:cs="宋体"/>
          <w:color w:val="000000"/>
          <w:kern w:val="0"/>
          <w:szCs w:val="24"/>
        </w:rPr>
        <w:t>聚焦中小公司治理，表示中小公司治理的问题主要在于合规成本高和股东有限责任落实不到位，新公司法尽管提供了较为灵活的安排，但仍需根据实践发展进一步完善优化。</w:t>
      </w:r>
      <w:r>
        <w:rPr>
          <w:rFonts w:hint="eastAsia" w:ascii="宋体" w:hAnsi="宋体" w:cs="宋体"/>
          <w:b/>
          <w:bCs/>
          <w:color w:val="000000"/>
          <w:kern w:val="0"/>
          <w:szCs w:val="24"/>
        </w:rPr>
        <w:t>香港中文大学法学院讲席教授黄辉和四川省高级人民法院民二庭庭长梁晨</w:t>
      </w:r>
      <w:r>
        <w:rPr>
          <w:rFonts w:hint="eastAsia" w:ascii="宋体" w:hAnsi="宋体" w:cs="宋体"/>
          <w:color w:val="000000"/>
          <w:kern w:val="0"/>
          <w:szCs w:val="24"/>
        </w:rPr>
        <w:t>分别对新公司法中董事第三人责任制度和公司法外溢责任的发展进行了研讨，主张对上述责任进行适度平衡，以避免对公司治理和营商环境产生不利影响。</w:t>
      </w:r>
      <w:r>
        <w:rPr>
          <w:rFonts w:hint="eastAsia" w:ascii="宋体" w:hAnsi="宋体" w:cs="宋体"/>
          <w:b/>
          <w:bCs/>
          <w:color w:val="000000"/>
          <w:kern w:val="0"/>
          <w:szCs w:val="24"/>
        </w:rPr>
        <w:t>吉林大学法学院民商法学博士研究生孙永敏</w:t>
      </w:r>
      <w:r>
        <w:rPr>
          <w:rFonts w:hint="eastAsia" w:ascii="宋体" w:hAnsi="宋体" w:cs="宋体"/>
          <w:color w:val="000000"/>
          <w:kern w:val="0"/>
          <w:szCs w:val="24"/>
        </w:rPr>
        <w:t>以“诚信原则视域下股东压制行为的本土治理与制度构建”为主题，引发了与会代表们的广泛共鸣。</w:t>
      </w:r>
      <w:r>
        <w:rPr>
          <w:rFonts w:hint="eastAsia" w:ascii="宋体" w:hAnsi="宋体" w:cs="宋体"/>
          <w:b/>
          <w:color w:val="000000"/>
          <w:kern w:val="0"/>
          <w:szCs w:val="24"/>
        </w:rPr>
        <w:t>四川省天府新区人民法院党组书记、院长罗登亮，西南政法大学民商法学院教授赵吟，四川省社会科学院研究员、法学所副所长钟凯</w:t>
      </w:r>
      <w:r>
        <w:rPr>
          <w:rFonts w:hint="eastAsia" w:ascii="宋体" w:hAnsi="宋体" w:cs="宋体"/>
          <w:color w:val="000000"/>
          <w:kern w:val="0"/>
          <w:szCs w:val="24"/>
        </w:rPr>
        <w:t>担任与谈人。</w:t>
      </w:r>
    </w:p>
    <w:p w14:paraId="66A311AF">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第一组下半场由</w:t>
      </w:r>
      <w:r>
        <w:rPr>
          <w:rFonts w:hint="eastAsia" w:ascii="宋体" w:hAnsi="宋体" w:cs="宋体"/>
          <w:b/>
          <w:color w:val="000000"/>
          <w:kern w:val="0"/>
          <w:szCs w:val="24"/>
        </w:rPr>
        <w:t>施天涛常务副会长与成都市成华区人民法院党组书记、院长王泽轩</w:t>
      </w:r>
      <w:r>
        <w:rPr>
          <w:rFonts w:hint="eastAsia" w:ascii="宋体" w:hAnsi="宋体" w:cs="宋体"/>
          <w:color w:val="000000"/>
          <w:kern w:val="0"/>
          <w:szCs w:val="24"/>
        </w:rPr>
        <w:t>共同主持。</w:t>
      </w:r>
      <w:r>
        <w:rPr>
          <w:rFonts w:hint="eastAsia" w:ascii="宋体" w:hAnsi="宋体" w:cs="宋体"/>
          <w:b/>
          <w:bCs/>
          <w:color w:val="000000"/>
          <w:kern w:val="0"/>
          <w:szCs w:val="24"/>
        </w:rPr>
        <w:t>厦门大学法学院肖伟教授</w:t>
      </w:r>
      <w:r>
        <w:rPr>
          <w:rFonts w:hint="eastAsia" w:ascii="宋体" w:hAnsi="宋体" w:cs="宋体"/>
          <w:color w:val="000000"/>
          <w:kern w:val="0"/>
          <w:szCs w:val="24"/>
        </w:rPr>
        <w:t>聚焦监事会职能平移审计委员会这一问题，认为实践中存在审计委员会与监事会并存的现实需要，没有必要硬性规定设审计委员会后不能再设监事会。</w:t>
      </w:r>
      <w:r>
        <w:rPr>
          <w:rFonts w:hint="eastAsia" w:ascii="宋体" w:hAnsi="宋体" w:cs="宋体"/>
          <w:b/>
          <w:bCs/>
          <w:color w:val="000000"/>
          <w:kern w:val="0"/>
          <w:szCs w:val="24"/>
        </w:rPr>
        <w:t>广东外语外贸大学张保红教授</w:t>
      </w:r>
      <w:r>
        <w:rPr>
          <w:rFonts w:hint="eastAsia" w:ascii="宋体" w:hAnsi="宋体" w:cs="宋体"/>
          <w:color w:val="000000"/>
          <w:kern w:val="0"/>
          <w:szCs w:val="24"/>
        </w:rPr>
        <w:t>指出新公司法夯实股东认缴出资义务的同时迫切需要认缴资本的会计处理，建议设立“认缴资本”科目。</w:t>
      </w:r>
      <w:r>
        <w:rPr>
          <w:rFonts w:hint="eastAsia" w:ascii="宋体" w:hAnsi="宋体" w:cs="宋体"/>
          <w:b/>
          <w:bCs/>
          <w:color w:val="000000"/>
          <w:kern w:val="0"/>
          <w:szCs w:val="24"/>
        </w:rPr>
        <w:t>重庆大学法学院张舫教授</w:t>
      </w:r>
      <w:r>
        <w:rPr>
          <w:rFonts w:hint="eastAsia" w:ascii="宋体" w:hAnsi="宋体" w:cs="宋体"/>
          <w:color w:val="000000"/>
          <w:kern w:val="0"/>
          <w:szCs w:val="24"/>
        </w:rPr>
        <w:t>从新公司法对大股东占用上市公司资金的现象的回应出发，建议展开进一步规制。</w:t>
      </w:r>
      <w:r>
        <w:rPr>
          <w:rFonts w:hint="eastAsia" w:ascii="宋体" w:hAnsi="宋体" w:cs="宋体"/>
          <w:b/>
          <w:bCs/>
          <w:color w:val="000000"/>
          <w:kern w:val="0"/>
          <w:szCs w:val="24"/>
        </w:rPr>
        <w:t>东北证券合规总监王爱宾</w:t>
      </w:r>
      <w:r>
        <w:rPr>
          <w:rFonts w:hint="eastAsia" w:ascii="宋体" w:hAnsi="宋体" w:cs="宋体"/>
          <w:color w:val="000000"/>
          <w:kern w:val="0"/>
          <w:szCs w:val="24"/>
        </w:rPr>
        <w:t>关注新公司法下的债权人保护机制，提出了将银行间市场债务融资工具纳入新《公司法》的规范范围，完善相关信息公示制度等建议。</w:t>
      </w:r>
      <w:r>
        <w:rPr>
          <w:rFonts w:hint="eastAsia" w:ascii="宋体" w:hAnsi="宋体" w:cs="宋体"/>
          <w:b/>
          <w:bCs/>
          <w:color w:val="000000"/>
          <w:kern w:val="0"/>
          <w:szCs w:val="24"/>
        </w:rPr>
        <w:t>南京航空航天大学法律系讲师王胜民</w:t>
      </w:r>
      <w:r>
        <w:rPr>
          <w:rFonts w:hint="eastAsia" w:ascii="宋体" w:hAnsi="宋体" w:cs="宋体"/>
          <w:color w:val="000000"/>
          <w:kern w:val="0"/>
          <w:szCs w:val="24"/>
        </w:rPr>
        <w:t>从新公司法增加第206条债券受托管理人的赔偿责任后可能引发相关案件出发，对优化我国公司债券受托管理人法律责任体系提出了建议。</w:t>
      </w:r>
      <w:r>
        <w:rPr>
          <w:rFonts w:hint="eastAsia" w:ascii="宋体" w:hAnsi="宋体" w:cs="宋体"/>
          <w:b/>
          <w:bCs/>
          <w:color w:val="000000"/>
          <w:kern w:val="0"/>
          <w:szCs w:val="24"/>
        </w:rPr>
        <w:t>四川法奥律师事务所李宗发律师</w:t>
      </w:r>
      <w:r>
        <w:rPr>
          <w:rFonts w:hint="eastAsia" w:ascii="宋体" w:hAnsi="宋体" w:cs="宋体"/>
          <w:color w:val="000000"/>
          <w:kern w:val="0"/>
          <w:szCs w:val="24"/>
        </w:rPr>
        <w:t>从产业界、经济界和法律界双视角分析了公司资本制度，着重强调了宣示性注册资本及持续性投资资本的重要性。</w:t>
      </w:r>
      <w:r>
        <w:rPr>
          <w:rFonts w:hint="eastAsia" w:ascii="宋体" w:hAnsi="宋体" w:cs="宋体"/>
          <w:b/>
          <w:color w:val="000000"/>
          <w:kern w:val="0"/>
          <w:szCs w:val="24"/>
        </w:rPr>
        <w:t>《当代社会科学（英文）》期刊副主编蓝冰、四川省社会科学院副研究员钟洪明，四川外国语大学国际法学院副教授宋姝</w:t>
      </w:r>
      <w:r>
        <w:rPr>
          <w:rFonts w:hint="eastAsia" w:ascii="宋体" w:hAnsi="宋体" w:cs="宋体"/>
          <w:color w:val="000000"/>
          <w:kern w:val="0"/>
          <w:szCs w:val="24"/>
        </w:rPr>
        <w:t>参与与谈。</w:t>
      </w:r>
    </w:p>
    <w:p w14:paraId="428A7990">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第二组上半场由</w:t>
      </w:r>
      <w:r>
        <w:rPr>
          <w:rFonts w:hint="eastAsia" w:ascii="宋体" w:hAnsi="宋体" w:cs="宋体"/>
          <w:b/>
          <w:color w:val="000000"/>
          <w:kern w:val="0"/>
          <w:szCs w:val="24"/>
        </w:rPr>
        <w:t>侯东德副会长与天府股权交易中心总经理刘肃毅</w:t>
      </w:r>
      <w:r>
        <w:rPr>
          <w:rFonts w:hint="eastAsia" w:ascii="宋体" w:hAnsi="宋体" w:cs="宋体"/>
          <w:color w:val="000000"/>
          <w:kern w:val="0"/>
          <w:szCs w:val="24"/>
        </w:rPr>
        <w:t>共同主持。</w:t>
      </w:r>
      <w:r>
        <w:rPr>
          <w:rFonts w:hint="eastAsia" w:ascii="宋体" w:hAnsi="宋体" w:cs="宋体"/>
          <w:b/>
          <w:bCs/>
          <w:color w:val="000000"/>
          <w:kern w:val="0"/>
          <w:szCs w:val="24"/>
        </w:rPr>
        <w:t>西南政法大学教授林少伟</w:t>
      </w:r>
      <w:r>
        <w:rPr>
          <w:rFonts w:hint="eastAsia" w:ascii="宋体" w:hAnsi="宋体" w:cs="宋体"/>
          <w:color w:val="000000"/>
          <w:kern w:val="0"/>
          <w:szCs w:val="24"/>
        </w:rPr>
        <w:t>认为在新公司法语境下了解弘扬企业家精神，应回到法律基本范畴，即主体、客体、权利义务等，在赋权、容错两个方面下功夫，做到激励与约束并行、合规管理与试错发展共存。</w:t>
      </w:r>
      <w:r>
        <w:rPr>
          <w:rFonts w:hint="eastAsia" w:ascii="宋体" w:hAnsi="宋体" w:cs="宋体"/>
          <w:b/>
          <w:bCs/>
          <w:color w:val="000000"/>
          <w:kern w:val="0"/>
          <w:szCs w:val="24"/>
        </w:rPr>
        <w:t>中央财经大学法学院董新义副教授</w:t>
      </w:r>
      <w:r>
        <w:rPr>
          <w:rFonts w:hint="eastAsia" w:ascii="宋体" w:hAnsi="宋体" w:cs="宋体"/>
          <w:color w:val="000000"/>
          <w:kern w:val="0"/>
          <w:szCs w:val="24"/>
        </w:rPr>
        <w:t>指出新公司法未对面额股减资和无面额股减资予以区分并作出差异化规定，探讨了无面额股减资是否适用于面额股减资的法理方法和程序。</w:t>
      </w:r>
      <w:r>
        <w:rPr>
          <w:rFonts w:hint="eastAsia" w:ascii="宋体" w:hAnsi="宋体" w:cs="宋体"/>
          <w:b/>
          <w:bCs/>
          <w:color w:val="000000"/>
          <w:kern w:val="0"/>
          <w:szCs w:val="24"/>
        </w:rPr>
        <w:t>浙江大学光华法学院周淳副教授</w:t>
      </w:r>
      <w:r>
        <w:rPr>
          <w:rFonts w:hint="eastAsia" w:ascii="宋体" w:hAnsi="宋体" w:cs="宋体"/>
          <w:color w:val="000000"/>
          <w:kern w:val="0"/>
          <w:szCs w:val="24"/>
        </w:rPr>
        <w:t>分享了对异议股东股份回购的公开市场例外规则的研究，她指出异议股东回购的关键在于合并、分立时，取得的对价是否合理公平，对此应当发展重大交易的监督机制，对异议股东提供充分的救济。</w:t>
      </w:r>
      <w:r>
        <w:rPr>
          <w:rFonts w:hint="eastAsia" w:ascii="宋体" w:hAnsi="宋体" w:cs="宋体"/>
          <w:b/>
          <w:bCs/>
          <w:color w:val="000000"/>
          <w:kern w:val="0"/>
          <w:szCs w:val="24"/>
        </w:rPr>
        <w:t>西南财经大学法学院张怀岭副教授</w:t>
      </w:r>
      <w:r>
        <w:rPr>
          <w:rFonts w:hint="eastAsia" w:ascii="宋体" w:hAnsi="宋体" w:cs="宋体"/>
          <w:color w:val="000000"/>
          <w:kern w:val="0"/>
          <w:szCs w:val="24"/>
        </w:rPr>
        <w:t>聚焦董责险，认为其功能定位主要包括董事激励功能和损害赔偿功能。新《公司法》第193条仅是开端，投保主体、投保自担比例等利益冲突协调问题需要后续提供规范供给。</w:t>
      </w:r>
      <w:r>
        <w:rPr>
          <w:rFonts w:hint="eastAsia" w:ascii="宋体" w:hAnsi="宋体" w:cs="宋体"/>
          <w:b/>
          <w:bCs/>
          <w:color w:val="000000"/>
          <w:kern w:val="0"/>
          <w:szCs w:val="24"/>
        </w:rPr>
        <w:t>四川省社会科学院助理研究员庄斌</w:t>
      </w:r>
      <w:r>
        <w:rPr>
          <w:rFonts w:hint="eastAsia" w:ascii="宋体" w:hAnsi="宋体" w:cs="宋体"/>
          <w:color w:val="000000"/>
          <w:kern w:val="0"/>
          <w:szCs w:val="24"/>
        </w:rPr>
        <w:t>在董事责任日益严格且巨额化的背景下，探析了建立董事限额赔偿的制度可能性。他指出，该制度具有现实必要和实践需求，是对民事责任任意性、董事权责失衡的纠偏以及一般过失情形下完全赔偿原则的缓和。</w:t>
      </w:r>
    </w:p>
    <w:p w14:paraId="78192E53">
      <w:pPr>
        <w:widowControl/>
        <w:shd w:val="clear" w:color="auto" w:fill="FFFFFF"/>
        <w:adjustRightInd w:val="0"/>
        <w:snapToGrid w:val="0"/>
        <w:spacing w:line="360" w:lineRule="auto"/>
        <w:ind w:firstLine="482" w:firstLineChars="200"/>
        <w:rPr>
          <w:rFonts w:ascii="宋体" w:hAnsi="宋体" w:cs="宋体"/>
          <w:color w:val="000000"/>
          <w:kern w:val="0"/>
          <w:szCs w:val="24"/>
        </w:rPr>
      </w:pPr>
      <w:r>
        <w:rPr>
          <w:rFonts w:hint="eastAsia" w:ascii="宋体" w:hAnsi="宋体" w:cs="宋体"/>
          <w:b/>
          <w:color w:val="000000"/>
          <w:kern w:val="0"/>
          <w:szCs w:val="24"/>
        </w:rPr>
        <w:t>成都市高新区人民法院党组书记、院长何良彬，四川大学法学院副教授陈实，东北师范大学副教授王峙焯，西南民族大学法学院副教授郑显芳，西南政法大学民商法学院讲师武翠丹，北京市安博律师事务所主任王守亮</w:t>
      </w:r>
      <w:r>
        <w:rPr>
          <w:rFonts w:hint="eastAsia" w:ascii="宋体" w:hAnsi="宋体" w:cs="宋体"/>
          <w:color w:val="000000"/>
          <w:kern w:val="0"/>
          <w:szCs w:val="24"/>
        </w:rPr>
        <w:t>围绕如何将弘扬企业家精神“实质入法”以及董责险的实现机制进行了与谈。</w:t>
      </w:r>
    </w:p>
    <w:p w14:paraId="6127A631">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第二组下半场由</w:t>
      </w:r>
      <w:r>
        <w:rPr>
          <w:rFonts w:hint="eastAsia" w:ascii="宋体" w:hAnsi="宋体" w:cs="宋体"/>
          <w:b/>
          <w:color w:val="000000"/>
          <w:kern w:val="0"/>
          <w:szCs w:val="24"/>
        </w:rPr>
        <w:t>李东方副会长与重庆大学法学院院长靳文辉教授</w:t>
      </w:r>
      <w:r>
        <w:rPr>
          <w:rFonts w:hint="eastAsia" w:ascii="宋体" w:hAnsi="宋体" w:cs="宋体"/>
          <w:color w:val="000000"/>
          <w:kern w:val="0"/>
          <w:szCs w:val="24"/>
        </w:rPr>
        <w:t>共同主持。</w:t>
      </w:r>
      <w:r>
        <w:rPr>
          <w:rFonts w:hint="eastAsia" w:ascii="宋体" w:hAnsi="宋体" w:cs="宋体"/>
          <w:b/>
          <w:bCs/>
          <w:color w:val="000000"/>
          <w:kern w:val="0"/>
          <w:szCs w:val="24"/>
        </w:rPr>
        <w:t>成都国际商事法庭副庭长谢芳</w:t>
      </w:r>
      <w:r>
        <w:rPr>
          <w:rFonts w:hint="eastAsia" w:ascii="宋体" w:hAnsi="宋体" w:cs="宋体"/>
          <w:color w:val="000000"/>
          <w:kern w:val="0"/>
          <w:szCs w:val="24"/>
        </w:rPr>
        <w:t>聚焦新公司法带来的司法挑战，认为今后公司债权人利益保护类纠纷将大幅增加，公司治理类纠纷将出现结构性调整，公司连环诉讼将成为公司纠纷审理亟待破解的难题。</w:t>
      </w:r>
      <w:r>
        <w:rPr>
          <w:rFonts w:hint="eastAsia" w:ascii="宋体" w:hAnsi="宋体" w:cs="宋体"/>
          <w:b/>
          <w:bCs/>
          <w:color w:val="000000"/>
          <w:kern w:val="0"/>
          <w:szCs w:val="24"/>
        </w:rPr>
        <w:t>华东政法大学国际金融法律学院肖宇教授</w:t>
      </w:r>
      <w:r>
        <w:rPr>
          <w:rFonts w:hint="eastAsia" w:ascii="宋体" w:hAnsi="宋体" w:cs="宋体"/>
          <w:color w:val="000000"/>
          <w:kern w:val="0"/>
          <w:szCs w:val="24"/>
        </w:rPr>
        <w:t>指出了股东代位诉讼实践中实际控制人、大股东逃避责任而由上市公司概括承担责任以及诉讼费过高的负问题，建议采取诉讼费定额制或免预交案件受理费等方式进行改革。</w:t>
      </w:r>
      <w:r>
        <w:rPr>
          <w:rFonts w:hint="eastAsia" w:ascii="宋体" w:hAnsi="宋体" w:cs="宋体"/>
          <w:b/>
          <w:bCs/>
          <w:color w:val="000000"/>
          <w:kern w:val="0"/>
          <w:szCs w:val="24"/>
        </w:rPr>
        <w:t>新加坡国立大学法学院长聘副教授林琳</w:t>
      </w:r>
      <w:r>
        <w:rPr>
          <w:rFonts w:hint="eastAsia" w:ascii="宋体" w:hAnsi="宋体" w:cs="宋体"/>
          <w:color w:val="000000"/>
          <w:kern w:val="0"/>
          <w:szCs w:val="24"/>
        </w:rPr>
        <w:t>在分享了“ESG与公司治理”，她指出，在公司端，英国和新加坡针对ESG和可持续性要求的软法日益上升为硬法；在投资端，投资机构管理人在进行投资时同样负有考虑可持续性的信义义务以促进资金流入ESG相关项目。</w:t>
      </w:r>
      <w:r>
        <w:rPr>
          <w:rFonts w:hint="eastAsia" w:ascii="宋体" w:hAnsi="宋体" w:cs="宋体"/>
          <w:b/>
          <w:bCs/>
          <w:color w:val="000000"/>
          <w:kern w:val="0"/>
          <w:szCs w:val="24"/>
        </w:rPr>
        <w:t>天津大学法学院教授温笑侗</w:t>
      </w:r>
      <w:r>
        <w:rPr>
          <w:rFonts w:hint="eastAsia" w:ascii="宋体" w:hAnsi="宋体" w:cs="宋体"/>
          <w:color w:val="000000"/>
          <w:kern w:val="0"/>
          <w:szCs w:val="24"/>
        </w:rPr>
        <w:t>新在公司法引入无面额股和授权资本制度，公司董事会对新股发行的定价方案拥有更大的裁量权的背景下，建议以董事信义义务实体规则为抓手，结合新股发行定价的程序规制，以避免新老股东间的利益失衡。</w:t>
      </w:r>
      <w:r>
        <w:rPr>
          <w:rFonts w:hint="eastAsia" w:ascii="宋体" w:hAnsi="宋体" w:cs="宋体"/>
          <w:b/>
          <w:bCs/>
          <w:color w:val="000000"/>
          <w:kern w:val="0"/>
          <w:szCs w:val="24"/>
        </w:rPr>
        <w:t>深圳大学法学院长聘副教授薛波</w:t>
      </w:r>
      <w:r>
        <w:rPr>
          <w:rFonts w:hint="eastAsia" w:ascii="宋体" w:hAnsi="宋体" w:cs="宋体"/>
          <w:color w:val="000000"/>
          <w:kern w:val="0"/>
          <w:szCs w:val="24"/>
        </w:rPr>
        <w:t>围绕新公司法中第86条第1款，对未届期股权转让的公司同意权规则进行了适用解构，建议后续司法解释提供有关制度供给。</w:t>
      </w:r>
      <w:r>
        <w:rPr>
          <w:rFonts w:hint="eastAsia" w:ascii="宋体" w:hAnsi="宋体" w:cs="宋体"/>
          <w:b/>
          <w:color w:val="000000"/>
          <w:kern w:val="0"/>
          <w:szCs w:val="24"/>
        </w:rPr>
        <w:t>四川省德阳市中级人民法院党组书记、院长徐文昌，西安交通大学法学院副教授楼晓，四川外国语大学副教授程璐，重庆大学法学院副教授杨疏影，四川明炬律师事务所律师杨星</w:t>
      </w:r>
      <w:r>
        <w:rPr>
          <w:rFonts w:hint="eastAsia" w:ascii="宋体" w:hAnsi="宋体" w:cs="宋体"/>
          <w:color w:val="000000"/>
          <w:kern w:val="0"/>
          <w:szCs w:val="24"/>
        </w:rPr>
        <w:t>参与与谈。</w:t>
      </w:r>
    </w:p>
    <w:p w14:paraId="37281EA4">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在紧张激烈的分组讨论后，会议进入到第四单元——闭幕式，由</w:t>
      </w:r>
      <w:r>
        <w:rPr>
          <w:rFonts w:hint="eastAsia" w:ascii="宋体" w:hAnsi="宋体" w:cs="宋体"/>
          <w:b/>
          <w:bCs/>
          <w:color w:val="000000"/>
          <w:kern w:val="0"/>
          <w:szCs w:val="24"/>
        </w:rPr>
        <w:t>四川省高级人民法院党组成员，国家法官学院四川分院院长赖波军</w:t>
      </w:r>
      <w:r>
        <w:rPr>
          <w:rFonts w:hint="eastAsia" w:ascii="宋体" w:hAnsi="宋体" w:cs="宋体"/>
          <w:color w:val="000000"/>
          <w:kern w:val="0"/>
          <w:szCs w:val="24"/>
        </w:rPr>
        <w:t>主持。</w:t>
      </w:r>
      <w:r>
        <w:rPr>
          <w:rFonts w:hint="eastAsia" w:ascii="宋体" w:hAnsi="宋体" w:cs="宋体"/>
          <w:b/>
          <w:bCs/>
          <w:color w:val="000000"/>
          <w:kern w:val="0"/>
          <w:szCs w:val="24"/>
        </w:rPr>
        <w:t>邢会强教授、李东方教授</w:t>
      </w:r>
      <w:r>
        <w:rPr>
          <w:rFonts w:hint="eastAsia" w:ascii="宋体" w:hAnsi="宋体" w:cs="宋体"/>
          <w:color w:val="000000"/>
          <w:kern w:val="0"/>
          <w:szCs w:val="24"/>
        </w:rPr>
        <w:t>分别对下午的第一组和第二组分组讨论进行总结。他们一致表示，本次会议研讨带来了一场专属于新公司法的思想盛宴，对今后公司法研究和实施带来了诸多有益的启发。</w:t>
      </w:r>
    </w:p>
    <w:p w14:paraId="738845A5">
      <w:pPr>
        <w:widowControl/>
        <w:shd w:val="clear" w:color="auto" w:fill="FFFFFF"/>
        <w:adjustRightInd w:val="0"/>
        <w:snapToGrid w:val="0"/>
        <w:spacing w:line="360" w:lineRule="auto"/>
        <w:ind w:firstLine="480" w:firstLineChars="200"/>
        <w:rPr>
          <w:rFonts w:ascii="宋体" w:hAnsi="宋体" w:cs="宋体"/>
          <w:color w:val="000000"/>
          <w:kern w:val="0"/>
          <w:szCs w:val="24"/>
        </w:rPr>
      </w:pPr>
      <w:r>
        <w:rPr>
          <w:rFonts w:hint="eastAsia" w:ascii="宋体" w:hAnsi="宋体" w:cs="宋体"/>
          <w:color w:val="000000"/>
          <w:kern w:val="0"/>
          <w:szCs w:val="24"/>
        </w:rPr>
        <w:t>大会最后，</w:t>
      </w:r>
      <w:r>
        <w:rPr>
          <w:rFonts w:hint="eastAsia" w:ascii="宋体" w:hAnsi="宋体" w:cs="宋体"/>
          <w:b/>
          <w:bCs/>
          <w:color w:val="000000"/>
          <w:kern w:val="0"/>
          <w:szCs w:val="24"/>
        </w:rPr>
        <w:t>郭锋会长，唐清利教授</w:t>
      </w:r>
      <w:r>
        <w:rPr>
          <w:rFonts w:hint="eastAsia" w:ascii="宋体" w:hAnsi="宋体" w:cs="宋体"/>
          <w:color w:val="000000"/>
          <w:kern w:val="0"/>
          <w:szCs w:val="24"/>
        </w:rPr>
        <w:t>分别作闭幕致辞，对会议主办方以及与会代表表达了由衷的感谢。至此，新公司法实施研讨会在各位参会代表的热烈掌声中圆满闭幕！</w:t>
      </w:r>
    </w:p>
    <w:p w14:paraId="7B74E914">
      <w:pPr>
        <w:widowControl/>
        <w:shd w:val="clear" w:color="auto" w:fill="FFFFFF"/>
        <w:adjustRightInd w:val="0"/>
        <w:snapToGrid w:val="0"/>
        <w:spacing w:line="360" w:lineRule="auto"/>
        <w:ind w:firstLine="480" w:firstLineChars="200"/>
        <w:jc w:val="center"/>
        <w:rPr>
          <w:rFonts w:ascii="宋体" w:hAnsi="宋体" w:cs="宋体"/>
          <w:color w:val="000000"/>
          <w:kern w:val="0"/>
          <w:szCs w:val="24"/>
        </w:rPr>
      </w:pPr>
      <w:r>
        <w:rPr>
          <w:rFonts w:hint="eastAsia" w:ascii="宋体" w:hAnsi="宋体" w:cs="宋体"/>
          <w:color w:val="000000"/>
          <w:kern w:val="0"/>
          <w:szCs w:val="24"/>
        </w:rPr>
        <w:drawing>
          <wp:inline distT="0" distB="0" distL="114300" distR="114300">
            <wp:extent cx="5264785" cy="3509645"/>
            <wp:effectExtent l="0" t="0" r="12065" b="14605"/>
            <wp:docPr id="13" name="图片 1" descr="闭幕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闭幕式 (1)"/>
                    <pic:cNvPicPr>
                      <a:picLocks noChangeAspect="1"/>
                    </pic:cNvPicPr>
                  </pic:nvPicPr>
                  <pic:blipFill>
                    <a:blip r:embed="rId7"/>
                    <a:stretch>
                      <a:fillRect/>
                    </a:stretch>
                  </pic:blipFill>
                  <pic:spPr>
                    <a:xfrm>
                      <a:off x="0" y="0"/>
                      <a:ext cx="5264785" cy="3509645"/>
                    </a:xfrm>
                    <a:prstGeom prst="rect">
                      <a:avLst/>
                    </a:prstGeom>
                  </pic:spPr>
                </pic:pic>
              </a:graphicData>
            </a:graphic>
          </wp:inline>
        </w:drawing>
      </w:r>
      <w:r>
        <w:rPr>
          <w:rFonts w:hint="eastAsia" w:ascii="微软雅黑" w:hAnsi="微软雅黑" w:eastAsia="微软雅黑" w:cs="微软雅黑"/>
          <w:color w:val="000000"/>
          <w:kern w:val="0"/>
          <w:szCs w:val="24"/>
        </w:rPr>
        <w:t>闭幕式现场</w:t>
      </w:r>
    </w:p>
    <w:p w14:paraId="3C3F70DD">
      <w:pPr>
        <w:widowControl/>
        <w:shd w:val="clear" w:color="auto" w:fill="FFFFFF"/>
        <w:adjustRightInd w:val="0"/>
        <w:snapToGrid w:val="0"/>
        <w:spacing w:line="360" w:lineRule="auto"/>
        <w:ind w:firstLine="480" w:firstLineChars="200"/>
        <w:jc w:val="center"/>
        <w:rPr>
          <w:rFonts w:ascii="微软雅黑" w:hAnsi="微软雅黑" w:eastAsia="微软雅黑" w:cs="微软雅黑"/>
          <w:color w:val="000000"/>
          <w:kern w:val="0"/>
          <w:szCs w:val="24"/>
        </w:rPr>
      </w:pPr>
      <w:r>
        <w:rPr>
          <w:rFonts w:hint="eastAsia" w:ascii="宋体" w:hAnsi="宋体" w:cs="宋体"/>
          <w:color w:val="000000"/>
          <w:kern w:val="0"/>
          <w:szCs w:val="24"/>
        </w:rPr>
        <w:drawing>
          <wp:inline distT="0" distB="0" distL="114300" distR="114300">
            <wp:extent cx="5257800" cy="3505200"/>
            <wp:effectExtent l="0" t="0" r="0" b="0"/>
            <wp:docPr id="14" name="图片 2" descr="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合照"/>
                    <pic:cNvPicPr>
                      <a:picLocks noChangeAspect="1"/>
                    </pic:cNvPicPr>
                  </pic:nvPicPr>
                  <pic:blipFill>
                    <a:blip r:embed="rId8"/>
                    <a:stretch>
                      <a:fillRect/>
                    </a:stretch>
                  </pic:blipFill>
                  <pic:spPr>
                    <a:xfrm>
                      <a:off x="0" y="0"/>
                      <a:ext cx="5257800" cy="3505200"/>
                    </a:xfrm>
                    <a:prstGeom prst="rect">
                      <a:avLst/>
                    </a:prstGeom>
                  </pic:spPr>
                </pic:pic>
              </a:graphicData>
            </a:graphic>
          </wp:inline>
        </w:drawing>
      </w:r>
      <w:r>
        <w:rPr>
          <w:rFonts w:hint="eastAsia" w:ascii="微软雅黑" w:hAnsi="微软雅黑" w:eastAsia="微软雅黑" w:cs="微软雅黑"/>
          <w:color w:val="000000"/>
          <w:kern w:val="0"/>
          <w:szCs w:val="24"/>
        </w:rPr>
        <w:t>全体参会人员合影</w:t>
      </w:r>
    </w:p>
    <w:p w14:paraId="7AF32525">
      <w:pPr>
        <w:widowControl/>
        <w:shd w:val="clear" w:color="auto" w:fill="FFFFFF"/>
        <w:adjustRightInd w:val="0"/>
        <w:snapToGrid w:val="0"/>
        <w:spacing w:line="360" w:lineRule="auto"/>
        <w:ind w:firstLine="480" w:firstLineChars="200"/>
        <w:jc w:val="right"/>
        <w:rPr>
          <w:rFonts w:ascii="微软雅黑" w:hAnsi="微软雅黑" w:eastAsia="微软雅黑" w:cs="微软雅黑"/>
          <w:color w:val="000000"/>
          <w:kern w:val="0"/>
          <w:szCs w:val="24"/>
        </w:rPr>
      </w:pPr>
    </w:p>
    <w:p w14:paraId="6B5C614A">
      <w:pPr>
        <w:widowControl/>
        <w:shd w:val="clear" w:color="auto" w:fill="FFFFFF"/>
        <w:adjustRightInd w:val="0"/>
        <w:snapToGrid w:val="0"/>
        <w:spacing w:line="360" w:lineRule="auto"/>
        <w:ind w:firstLine="480" w:firstLineChars="200"/>
        <w:jc w:val="right"/>
        <w:rPr>
          <w:rFonts w:ascii="微软雅黑" w:hAnsi="微软雅黑" w:eastAsia="微软雅黑" w:cs="微软雅黑"/>
          <w:color w:val="000000"/>
          <w:kern w:val="0"/>
          <w:szCs w:val="24"/>
        </w:rPr>
      </w:pPr>
    </w:p>
    <w:p w14:paraId="574D4DBD">
      <w:pPr>
        <w:widowControl/>
        <w:shd w:val="clear" w:color="auto" w:fill="FFFFFF"/>
        <w:adjustRightInd w:val="0"/>
        <w:snapToGrid w:val="0"/>
        <w:spacing w:line="360" w:lineRule="auto"/>
        <w:ind w:firstLine="480" w:firstLineChars="200"/>
        <w:jc w:val="right"/>
        <w:rPr>
          <w:rFonts w:ascii="宋体" w:hAnsi="宋体" w:cs="宋体"/>
          <w:color w:val="000000"/>
          <w:kern w:val="0"/>
          <w:szCs w:val="24"/>
        </w:rPr>
      </w:pPr>
      <w:r>
        <w:rPr>
          <w:rFonts w:hint="eastAsia" w:ascii="宋体" w:hAnsi="宋体" w:cs="宋体"/>
          <w:color w:val="000000"/>
          <w:kern w:val="0"/>
          <w:szCs w:val="24"/>
        </w:rPr>
        <w:t>（文/姜帅   图/成都理工大学）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mYzk4MTE0NzU3NGQ2MTUxZGM2NjZlNjBkYjBmZmUifQ=="/>
  </w:docVars>
  <w:rsids>
    <w:rsidRoot w:val="00F5029B"/>
    <w:rsid w:val="00015954"/>
    <w:rsid w:val="000C417D"/>
    <w:rsid w:val="00220849"/>
    <w:rsid w:val="002D5F96"/>
    <w:rsid w:val="002E5259"/>
    <w:rsid w:val="003049E3"/>
    <w:rsid w:val="003A0570"/>
    <w:rsid w:val="003D4DF2"/>
    <w:rsid w:val="0057277F"/>
    <w:rsid w:val="006F5974"/>
    <w:rsid w:val="00822C73"/>
    <w:rsid w:val="008D1DBF"/>
    <w:rsid w:val="008F56F8"/>
    <w:rsid w:val="008F6E39"/>
    <w:rsid w:val="00A16CFC"/>
    <w:rsid w:val="00BC11D3"/>
    <w:rsid w:val="00C17426"/>
    <w:rsid w:val="00E84FCD"/>
    <w:rsid w:val="00EA77E1"/>
    <w:rsid w:val="00F35E5D"/>
    <w:rsid w:val="00F5029B"/>
    <w:rsid w:val="00F529E7"/>
    <w:rsid w:val="00FA6242"/>
    <w:rsid w:val="00FE76EC"/>
    <w:rsid w:val="01CE18D5"/>
    <w:rsid w:val="020236B3"/>
    <w:rsid w:val="021D673F"/>
    <w:rsid w:val="02C31095"/>
    <w:rsid w:val="036363D4"/>
    <w:rsid w:val="0363688D"/>
    <w:rsid w:val="048C3708"/>
    <w:rsid w:val="05137986"/>
    <w:rsid w:val="055B7373"/>
    <w:rsid w:val="071137D1"/>
    <w:rsid w:val="07AF4ECA"/>
    <w:rsid w:val="07BA6793"/>
    <w:rsid w:val="07D67D9D"/>
    <w:rsid w:val="08017A11"/>
    <w:rsid w:val="09DE7509"/>
    <w:rsid w:val="0A297E8D"/>
    <w:rsid w:val="0A642508"/>
    <w:rsid w:val="0B9F0423"/>
    <w:rsid w:val="0BBE2ABB"/>
    <w:rsid w:val="0D6333C6"/>
    <w:rsid w:val="0D6A16EC"/>
    <w:rsid w:val="0DAE649D"/>
    <w:rsid w:val="0E105432"/>
    <w:rsid w:val="0E2B61EA"/>
    <w:rsid w:val="0E320E7D"/>
    <w:rsid w:val="0EB2798B"/>
    <w:rsid w:val="0F7B6853"/>
    <w:rsid w:val="0F837210"/>
    <w:rsid w:val="10256882"/>
    <w:rsid w:val="10F349AF"/>
    <w:rsid w:val="11FF376C"/>
    <w:rsid w:val="12097A7B"/>
    <w:rsid w:val="1324792E"/>
    <w:rsid w:val="14CD2D3D"/>
    <w:rsid w:val="14E96F78"/>
    <w:rsid w:val="14EF47A8"/>
    <w:rsid w:val="151E65FF"/>
    <w:rsid w:val="152534E9"/>
    <w:rsid w:val="15277E34"/>
    <w:rsid w:val="153E52D3"/>
    <w:rsid w:val="15681628"/>
    <w:rsid w:val="15E83826"/>
    <w:rsid w:val="16F45621"/>
    <w:rsid w:val="16F55E73"/>
    <w:rsid w:val="172310DA"/>
    <w:rsid w:val="17936FC2"/>
    <w:rsid w:val="17DA327F"/>
    <w:rsid w:val="1816313A"/>
    <w:rsid w:val="182A17D9"/>
    <w:rsid w:val="187A006F"/>
    <w:rsid w:val="19B337B9"/>
    <w:rsid w:val="19DC4FFB"/>
    <w:rsid w:val="1A257D2C"/>
    <w:rsid w:val="1A50725A"/>
    <w:rsid w:val="1AA5243C"/>
    <w:rsid w:val="1B5437FC"/>
    <w:rsid w:val="1B9B7926"/>
    <w:rsid w:val="1BEA6738"/>
    <w:rsid w:val="1CCE26B8"/>
    <w:rsid w:val="1E877D62"/>
    <w:rsid w:val="205820E7"/>
    <w:rsid w:val="20EC560A"/>
    <w:rsid w:val="21791AE4"/>
    <w:rsid w:val="21C051B1"/>
    <w:rsid w:val="21C27E8E"/>
    <w:rsid w:val="22460F43"/>
    <w:rsid w:val="224F6049"/>
    <w:rsid w:val="23DE5F44"/>
    <w:rsid w:val="23EC5C89"/>
    <w:rsid w:val="23F06D14"/>
    <w:rsid w:val="24702B4B"/>
    <w:rsid w:val="24B005DE"/>
    <w:rsid w:val="24C53DEB"/>
    <w:rsid w:val="24E16D01"/>
    <w:rsid w:val="25FF38E2"/>
    <w:rsid w:val="272D447F"/>
    <w:rsid w:val="274830D5"/>
    <w:rsid w:val="29F342A3"/>
    <w:rsid w:val="2A1E1A25"/>
    <w:rsid w:val="2A3C5105"/>
    <w:rsid w:val="2B063A60"/>
    <w:rsid w:val="2B1C4F36"/>
    <w:rsid w:val="2B2350CE"/>
    <w:rsid w:val="2B4D7BD2"/>
    <w:rsid w:val="2BD625C6"/>
    <w:rsid w:val="2C0A50FE"/>
    <w:rsid w:val="2C2630F3"/>
    <w:rsid w:val="2D1138FA"/>
    <w:rsid w:val="2D210736"/>
    <w:rsid w:val="2D7010AB"/>
    <w:rsid w:val="2DB66F7C"/>
    <w:rsid w:val="2DFD65E2"/>
    <w:rsid w:val="2E3A5DFF"/>
    <w:rsid w:val="2F1003D6"/>
    <w:rsid w:val="2FDE0A0C"/>
    <w:rsid w:val="2FF415B3"/>
    <w:rsid w:val="30F35DA2"/>
    <w:rsid w:val="322E468E"/>
    <w:rsid w:val="32FB79C5"/>
    <w:rsid w:val="342B5F2F"/>
    <w:rsid w:val="353150C9"/>
    <w:rsid w:val="35441312"/>
    <w:rsid w:val="35604491"/>
    <w:rsid w:val="363E7E94"/>
    <w:rsid w:val="36B846C9"/>
    <w:rsid w:val="378F4B7F"/>
    <w:rsid w:val="37DF19EF"/>
    <w:rsid w:val="38CA1042"/>
    <w:rsid w:val="39C72511"/>
    <w:rsid w:val="39C86DEC"/>
    <w:rsid w:val="3A39715C"/>
    <w:rsid w:val="3A660021"/>
    <w:rsid w:val="3A6D4E67"/>
    <w:rsid w:val="3ACC1B19"/>
    <w:rsid w:val="3C641E16"/>
    <w:rsid w:val="3C9C7C85"/>
    <w:rsid w:val="3CEA4F51"/>
    <w:rsid w:val="3D7D29FB"/>
    <w:rsid w:val="3DB1592A"/>
    <w:rsid w:val="3E1D38A7"/>
    <w:rsid w:val="3E5F5615"/>
    <w:rsid w:val="3F0428AC"/>
    <w:rsid w:val="400C23CA"/>
    <w:rsid w:val="40181F8F"/>
    <w:rsid w:val="40C31C84"/>
    <w:rsid w:val="419C2A9B"/>
    <w:rsid w:val="4246115D"/>
    <w:rsid w:val="426B25D4"/>
    <w:rsid w:val="42BC2E2F"/>
    <w:rsid w:val="42C53343"/>
    <w:rsid w:val="4356651E"/>
    <w:rsid w:val="43C02DFF"/>
    <w:rsid w:val="4465609D"/>
    <w:rsid w:val="44C61D43"/>
    <w:rsid w:val="45CD0EAF"/>
    <w:rsid w:val="470E79D1"/>
    <w:rsid w:val="474358CD"/>
    <w:rsid w:val="485D6EE9"/>
    <w:rsid w:val="48617842"/>
    <w:rsid w:val="48773621"/>
    <w:rsid w:val="48B4789D"/>
    <w:rsid w:val="48D2291D"/>
    <w:rsid w:val="48DB1D9C"/>
    <w:rsid w:val="491E7DF0"/>
    <w:rsid w:val="49221252"/>
    <w:rsid w:val="49276D5E"/>
    <w:rsid w:val="498B2DA7"/>
    <w:rsid w:val="4B222F04"/>
    <w:rsid w:val="4B96403A"/>
    <w:rsid w:val="4C675BBA"/>
    <w:rsid w:val="4CB608EF"/>
    <w:rsid w:val="4D4D63CA"/>
    <w:rsid w:val="4D7E0EAA"/>
    <w:rsid w:val="4D9E061F"/>
    <w:rsid w:val="4DC25072"/>
    <w:rsid w:val="4DF22C1D"/>
    <w:rsid w:val="4EAB7E41"/>
    <w:rsid w:val="4F6F294F"/>
    <w:rsid w:val="4FC357FD"/>
    <w:rsid w:val="502A587C"/>
    <w:rsid w:val="50EF0AC4"/>
    <w:rsid w:val="50FF775B"/>
    <w:rsid w:val="5155142F"/>
    <w:rsid w:val="51713037"/>
    <w:rsid w:val="52493D5C"/>
    <w:rsid w:val="52FA265B"/>
    <w:rsid w:val="53C6520D"/>
    <w:rsid w:val="544C2359"/>
    <w:rsid w:val="54B24265"/>
    <w:rsid w:val="54C16083"/>
    <w:rsid w:val="54DE6C35"/>
    <w:rsid w:val="55214D74"/>
    <w:rsid w:val="56150744"/>
    <w:rsid w:val="571132F2"/>
    <w:rsid w:val="576F0751"/>
    <w:rsid w:val="57964317"/>
    <w:rsid w:val="58210668"/>
    <w:rsid w:val="58247138"/>
    <w:rsid w:val="592E6AC0"/>
    <w:rsid w:val="59FD2A33"/>
    <w:rsid w:val="5A3572F7"/>
    <w:rsid w:val="5AD55556"/>
    <w:rsid w:val="5C292E8C"/>
    <w:rsid w:val="5CFC2CB8"/>
    <w:rsid w:val="5D1D4994"/>
    <w:rsid w:val="5D2D6CB0"/>
    <w:rsid w:val="5D3D2E96"/>
    <w:rsid w:val="5D810AA5"/>
    <w:rsid w:val="5DDB6F2F"/>
    <w:rsid w:val="5DFE5C52"/>
    <w:rsid w:val="5E447901"/>
    <w:rsid w:val="5F1A6958"/>
    <w:rsid w:val="5FC60BCF"/>
    <w:rsid w:val="60C411AA"/>
    <w:rsid w:val="611F3AD3"/>
    <w:rsid w:val="614E5143"/>
    <w:rsid w:val="61572E28"/>
    <w:rsid w:val="616034BF"/>
    <w:rsid w:val="61756C5F"/>
    <w:rsid w:val="626E5EC4"/>
    <w:rsid w:val="63464323"/>
    <w:rsid w:val="63F141F6"/>
    <w:rsid w:val="64025D70"/>
    <w:rsid w:val="65605834"/>
    <w:rsid w:val="658A7D29"/>
    <w:rsid w:val="65F8742B"/>
    <w:rsid w:val="6703725E"/>
    <w:rsid w:val="69082BAE"/>
    <w:rsid w:val="691B590A"/>
    <w:rsid w:val="69576AEA"/>
    <w:rsid w:val="695B21AB"/>
    <w:rsid w:val="6984294B"/>
    <w:rsid w:val="6B213FDA"/>
    <w:rsid w:val="6C1256EA"/>
    <w:rsid w:val="6C8C6B1F"/>
    <w:rsid w:val="6CCE0EE6"/>
    <w:rsid w:val="6CD83F77"/>
    <w:rsid w:val="6D5533B5"/>
    <w:rsid w:val="6D784617"/>
    <w:rsid w:val="6D7F6792"/>
    <w:rsid w:val="6DA22033"/>
    <w:rsid w:val="6E292877"/>
    <w:rsid w:val="6E7354DC"/>
    <w:rsid w:val="700510C2"/>
    <w:rsid w:val="704B4D76"/>
    <w:rsid w:val="70F24EA2"/>
    <w:rsid w:val="71DA204C"/>
    <w:rsid w:val="720C351F"/>
    <w:rsid w:val="723839D1"/>
    <w:rsid w:val="725A005C"/>
    <w:rsid w:val="72A24229"/>
    <w:rsid w:val="72FD0776"/>
    <w:rsid w:val="737C3CE1"/>
    <w:rsid w:val="74A72748"/>
    <w:rsid w:val="75B10226"/>
    <w:rsid w:val="75B61A75"/>
    <w:rsid w:val="75BE2CB8"/>
    <w:rsid w:val="766E79D9"/>
    <w:rsid w:val="779B1797"/>
    <w:rsid w:val="782D11B6"/>
    <w:rsid w:val="78B946FC"/>
    <w:rsid w:val="78CE2999"/>
    <w:rsid w:val="790E73FF"/>
    <w:rsid w:val="793C0735"/>
    <w:rsid w:val="79823902"/>
    <w:rsid w:val="79DE4E5E"/>
    <w:rsid w:val="7A010B4C"/>
    <w:rsid w:val="7A6F3C30"/>
    <w:rsid w:val="7B5B428C"/>
    <w:rsid w:val="7CD57E28"/>
    <w:rsid w:val="7D690EE2"/>
    <w:rsid w:val="7D965A4F"/>
    <w:rsid w:val="7DBC3E00"/>
    <w:rsid w:val="7DF6038C"/>
    <w:rsid w:val="7E307B0A"/>
    <w:rsid w:val="7E6D01EC"/>
    <w:rsid w:val="7EBC7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9" w:semiHidden="0"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99" w:semiHidden="0" w:name="Strong"/>
    <w:lsdException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4"/>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4465</Words>
  <Characters>4487</Characters>
  <Lines>32</Lines>
  <Paragraphs>9</Paragraphs>
  <TotalTime>52</TotalTime>
  <ScaleCrop>false</ScaleCrop>
  <LinksUpToDate>false</LinksUpToDate>
  <CharactersWithSpaces>4512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2024-06-27T08:54:00Z</dcterms:created>
  <dc:creator>G</dc:creator>
  <cp:lastModifiedBy>hugh</cp:lastModifiedBy>
  <dcterms:modified xsi:type="dcterms:W3CDTF">2024-07-03T06:19:00Z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E213A34677A84C36A1644F3983FB5741_13</vt:lpwstr>
  </property>
</Properties>
</file>